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val="0"/>
          <w:sz w:val="44"/>
          <w:szCs w:val="44"/>
        </w:rPr>
      </w:pPr>
      <w:r>
        <w:rPr>
          <w:rFonts w:hint="eastAsia" w:ascii="仿宋_GB2312" w:hAnsi="仿宋_GB2312" w:eastAsia="仿宋_GB2312" w:cs="仿宋_GB2312"/>
          <w:b/>
          <w:bCs w:val="0"/>
          <w:sz w:val="44"/>
          <w:szCs w:val="44"/>
        </w:rPr>
        <w:t>保护环境  超低排放</w:t>
      </w:r>
    </w:p>
    <w:p>
      <w:pPr>
        <w:jc w:val="center"/>
        <w:rPr>
          <w:rFonts w:hint="eastAsia" w:ascii="仿宋_GB2312" w:hAnsi="仿宋_GB2312" w:eastAsia="仿宋_GB2312" w:cs="仿宋_GB2312"/>
          <w:b/>
          <w:bCs/>
          <w:sz w:val="18"/>
          <w:szCs w:val="18"/>
        </w:rPr>
      </w:pPr>
    </w:p>
    <w:p>
      <w:pPr>
        <w:tabs>
          <w:tab w:val="left" w:pos="4685"/>
        </w:tabs>
        <w:ind w:right="-325" w:rightChars="-15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单位简介</w:t>
      </w:r>
    </w:p>
    <w:p>
      <w:pPr>
        <w:pStyle w:val="4"/>
        <w:topLinePunct/>
        <w:adjustRightInd/>
        <w:spacing w:line="240" w:lineRule="auto"/>
        <w:ind w:firstLine="64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包头铝业有限公司热电厂（以下简称热电厂）2×330MW空冷发电供热机组工程建在内蒙古自治区包头市包头铝业工业示范园区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该园区位于包头市东河区东部，北依大青山，南临黄河，距东河区市区、包头机场、包头东站的距离均为10km。电厂厂址南面是包兰铁路，北面是包铝铁路专用线。</w:t>
      </w:r>
    </w:p>
    <w:p>
      <w:pPr>
        <w:tabs>
          <w:tab w:val="left" w:pos="4685"/>
        </w:tabs>
        <w:topLinePunct/>
        <w:rPr>
          <w:rFonts w:hint="eastAsia" w:ascii="仿宋_GB2312" w:hAnsi="仿宋_GB2312" w:eastAsia="仿宋_GB2312" w:cs="仿宋_GB2312"/>
          <w:b/>
          <w:bCs/>
          <w:sz w:val="28"/>
          <w:szCs w:val="28"/>
        </w:rPr>
      </w:pPr>
      <w:r>
        <w:rPr>
          <w:rFonts w:hint="eastAsia" w:ascii="仿宋_GB2312" w:hAnsi="仿宋_GB2312" w:eastAsia="仿宋_GB2312" w:cs="仿宋_GB2312"/>
          <w:b/>
          <w:bCs/>
          <w:sz w:val="32"/>
          <w:szCs w:val="32"/>
        </w:rPr>
        <w:t>背景</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污染物排放总量控制是根据环境质量目标的要求，综合考虑区域环境容量、经济发展规模、污染治理技术、环境管理水平等因素，推算出达到环境质量目标所允许的污染物最大排放量，也是环保部门监督管理的依据。《中华人民共和国大气污染防治法》第三十条规定：“新建、扩建排放二氧化硫的火电厂和其他大中型企业，超过规定的污染物排放标准或者总量控制指标的，必须建设配套脱硫、除尘装置或采取其它控制二氧化硫排放、除尘的措施。”</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国家环保新排放标准提出固体颗粒物、SO</w:t>
      </w:r>
      <w:r>
        <w:rPr>
          <w:rFonts w:hint="eastAsia" w:ascii="仿宋_GB2312" w:hAnsi="仿宋_GB2312" w:eastAsia="仿宋_GB2312" w:cs="仿宋_GB2312"/>
          <w:sz w:val="32"/>
          <w:szCs w:val="32"/>
          <w:vertAlign w:val="subscript"/>
        </w:rPr>
        <w:t>2</w:t>
      </w:r>
      <w:r>
        <w:rPr>
          <w:rFonts w:hint="eastAsia" w:ascii="仿宋_GB2312" w:hAnsi="仿宋_GB2312" w:eastAsia="仿宋_GB2312" w:cs="仿宋_GB2312"/>
          <w:sz w:val="32"/>
          <w:szCs w:val="32"/>
        </w:rPr>
        <w:t>、NOx排放限值分别不高于10 mg/Nm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、35 mg/Nm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、50mg/Nm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标准，包头铝业积极响应国家号召，分别于2017年11月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2018年8月完成2</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机组改造、1</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机组超低排放改造。</w:t>
      </w:r>
    </w:p>
    <w:p>
      <w:pPr>
        <w:topLinePunct/>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解决方案</w:t>
      </w:r>
    </w:p>
    <w:p>
      <w:pPr>
        <w:topLinePunct/>
        <w:ind w:firstLine="643"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一、确定技术方案</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环保设施与机组同时启机进入整套系统调试。烟气脱硫工艺仍采用石灰石-石膏湿法脱硫工艺，采用北京清新环境技术股份有限公司自主研发的高效旋汇耦合脱硫除尘技术、高效喷淋层技术和高效管束除尘除雾技术有机结合而形成的单塔一体化脱硫除尘深度净化技术（SPC-3D）对脱硫系统进行改造。1</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机组共用一套石膏脱水系统。包括两套石膏旋流器、2台真空皮带脱水机及真空泵、滤液分离系统、滤布冲洗水箱和冲洗水泵系统等。脱硝采用SCR脱硝工艺，加装一层催化剂。除尘系统综合除尘效率为99.975%。</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本工程脱硫装置的噪声主要来自于氧化风机等。对于上述噪声源设备，选型时尽量采用低噪声设备；采购时要求设备制造商提供的设备性能保证值要达到：距设备1米处的噪音&lt;85dB 。由于脱硫装置与电厂围墙之间相距较远，采取以上措施后完全可以达到工业企业厂界噪声标准的要求。</w:t>
      </w:r>
    </w:p>
    <w:p>
      <w:pPr>
        <w:topLinePunct/>
        <w:ind w:firstLine="643"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二、做好施工管理</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为保障改造项目的顺利实施,</w:t>
      </w:r>
      <w:r>
        <w:rPr>
          <w:rFonts w:hint="eastAsia" w:ascii="仿宋_GB2312" w:hAnsi="仿宋_GB2312" w:eastAsia="仿宋_GB2312" w:cs="仿宋_GB2312"/>
          <w:sz w:val="32"/>
          <w:szCs w:val="32"/>
          <w:lang w:eastAsia="zh-CN"/>
        </w:rPr>
        <w:t>企业</w:t>
      </w:r>
      <w:r>
        <w:rPr>
          <w:rFonts w:hint="eastAsia" w:ascii="仿宋_GB2312" w:hAnsi="仿宋_GB2312" w:eastAsia="仿宋_GB2312" w:cs="仿宋_GB2312"/>
          <w:sz w:val="32"/>
          <w:szCs w:val="32"/>
        </w:rPr>
        <w:t>成立了以主要负责人牵头的领导小组,明确了各个工作组的职责和管理目标,抽调具有丰富生产和基建管理经验的干部、业务技术能力强的员工为骨干,组建技改造项目部,全面负责工程的施工管理。</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号机组改造开工初期,影响现场顺利施工的第一个难题是200多吨旧设备拆除,100多吨的混凝土拆除,需要多台施工机械同时作业。高峰期在1、2号机组改造区域,有21台机械同时作业,密集布置的机械设备存在很大安全风险,但经过参建各方人员的协调布置,各种机械安全有序进行作业。</w:t>
      </w:r>
    </w:p>
    <w:p>
      <w:pPr>
        <w:topLinePunct/>
        <w:ind w:firstLine="643"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三、严格现场安全</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rPr>
        <w:t>狭小的空间</w:t>
      </w:r>
      <w:r>
        <w:rPr>
          <w:rFonts w:hint="eastAsia" w:ascii="仿宋_GB2312" w:hAnsi="仿宋_GB2312" w:eastAsia="仿宋_GB2312" w:cs="仿宋_GB2312"/>
          <w:sz w:val="32"/>
          <w:szCs w:val="32"/>
          <w:lang w:eastAsia="zh-CN"/>
        </w:rPr>
        <w:t>内</w:t>
      </w:r>
      <w:r>
        <w:rPr>
          <w:rFonts w:hint="eastAsia" w:ascii="仿宋_GB2312" w:hAnsi="仿宋_GB2312" w:eastAsia="仿宋_GB2312" w:cs="仿宋_GB2312"/>
          <w:sz w:val="32"/>
          <w:szCs w:val="32"/>
        </w:rPr>
        <w:t>,交叉作业、高空作业、起吊作业、挖掘作业,稍有闪失,就会发生安全事故。</w:t>
      </w:r>
      <w:r>
        <w:rPr>
          <w:rFonts w:hint="eastAsia" w:ascii="仿宋_GB2312" w:hAnsi="仿宋_GB2312" w:eastAsia="仿宋_GB2312" w:cs="仿宋_GB2312"/>
          <w:sz w:val="32"/>
          <w:szCs w:val="32"/>
          <w:lang w:eastAsia="zh-CN"/>
        </w:rPr>
        <w:t>坚决贯彻</w:t>
      </w:r>
      <w:r>
        <w:rPr>
          <w:rFonts w:hint="eastAsia" w:ascii="仿宋_GB2312" w:hAnsi="仿宋_GB2312" w:eastAsia="仿宋_GB2312" w:cs="仿宋_GB2312"/>
          <w:sz w:val="32"/>
          <w:szCs w:val="32"/>
        </w:rPr>
        <w:t>“无监护不开工、无交底不开工、无方案措施不开工”</w:t>
      </w:r>
      <w:r>
        <w:rPr>
          <w:rFonts w:hint="eastAsia" w:ascii="仿宋_GB2312" w:hAnsi="仿宋_GB2312" w:eastAsia="仿宋_GB2312" w:cs="仿宋_GB2312"/>
          <w:sz w:val="32"/>
          <w:szCs w:val="32"/>
          <w:lang w:eastAsia="zh-CN"/>
        </w:rPr>
        <w:t>安全</w:t>
      </w:r>
      <w:r>
        <w:rPr>
          <w:rFonts w:hint="eastAsia" w:ascii="仿宋_GB2312" w:hAnsi="仿宋_GB2312" w:eastAsia="仿宋_GB2312" w:cs="仿宋_GB2312"/>
          <w:sz w:val="32"/>
          <w:szCs w:val="32"/>
        </w:rPr>
        <w:t>措施。在全国超低排放改造工程安全事故多发的情况下,改造工程不仅提前一年圆满完成,而且实现了零事故、零伤亡。</w:t>
      </w:r>
    </w:p>
    <w:p>
      <w:pPr>
        <w:topLinePun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机组超低改造后环保验收工作截止2017年12月份168小时无故障运行、72小时手工比对监测与设备厂家72小时调试、整体监测工作已全部完成，已将验收申请提交环保厅。2018年2月1日烟气自动监测设备通过验收,2018年2月7日2</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机组超低改造工程整体验收通过。2</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机组环保设施总排口SO2为：20.6mg/m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，NOX为：31.25 mg/m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，粉尘为：3.56 mg/m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，满足国家环保污染物排放要求。</w:t>
      </w:r>
    </w:p>
    <w:p>
      <w:pPr>
        <w:topLinePunct/>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成效</w:t>
      </w:r>
    </w:p>
    <w:p>
      <w:pPr>
        <w:topLinePunct/>
        <w:ind w:firstLine="643" w:firstLineChars="200"/>
        <w:rPr>
          <w:rFonts w:hint="eastAsia" w:ascii="仿宋_GB2312" w:hAnsi="仿宋_GB2312" w:eastAsia="仿宋_GB2312" w:cs="仿宋_GB2312"/>
          <w:b/>
          <w:bCs/>
          <w:sz w:val="32"/>
          <w:szCs w:val="32"/>
        </w:rPr>
      </w:pPr>
      <w:bookmarkStart w:id="0" w:name="_Toc468015351"/>
      <w:r>
        <w:rPr>
          <w:rFonts w:hint="eastAsia" w:ascii="仿宋_GB2312" w:hAnsi="仿宋_GB2312" w:eastAsia="仿宋_GB2312" w:cs="仿宋_GB2312"/>
          <w:b/>
          <w:bCs/>
          <w:sz w:val="32"/>
          <w:szCs w:val="32"/>
        </w:rPr>
        <w:t>一、本次脱硫改造工程对实现环保总量控制的目标具有重要意义</w:t>
      </w:r>
      <w:bookmarkEnd w:id="0"/>
    </w:p>
    <w:p>
      <w:pPr>
        <w:topLinePunct/>
        <w:ind w:firstLine="640" w:firstLineChars="200"/>
        <w:rPr>
          <w:rFonts w:hint="eastAsia" w:ascii="仿宋_GB2312" w:hAnsi="仿宋_GB2312" w:eastAsia="仿宋_GB2312" w:cs="仿宋_GB2312"/>
          <w:sz w:val="32"/>
          <w:szCs w:val="32"/>
        </w:rPr>
      </w:pPr>
      <w:bookmarkStart w:id="1" w:name="_Toc468015352"/>
      <w:r>
        <w:rPr>
          <w:rFonts w:hint="eastAsia" w:ascii="仿宋_GB2312" w:hAnsi="仿宋_GB2312" w:eastAsia="仿宋_GB2312" w:cs="仿宋_GB2312"/>
          <w:sz w:val="32"/>
          <w:szCs w:val="32"/>
        </w:rPr>
        <w:t>脱硫改造项目实施后，全年二氧化硫的大气污染物排放总量可以达到设区所在环境保护厅提出的年排放总量控制目标。烟囱排放SO</w:t>
      </w:r>
      <w:r>
        <w:rPr>
          <w:rFonts w:hint="eastAsia" w:ascii="仿宋_GB2312" w:hAnsi="仿宋_GB2312" w:eastAsia="仿宋_GB2312" w:cs="仿宋_GB2312"/>
          <w:sz w:val="32"/>
          <w:szCs w:val="32"/>
          <w:vertAlign w:val="subscript"/>
        </w:rPr>
        <w:t>2</w:t>
      </w:r>
      <w:r>
        <w:rPr>
          <w:rFonts w:hint="eastAsia" w:ascii="仿宋_GB2312" w:hAnsi="仿宋_GB2312" w:eastAsia="仿宋_GB2312" w:cs="仿宋_GB2312"/>
          <w:sz w:val="32"/>
          <w:szCs w:val="32"/>
        </w:rPr>
        <w:t>浓度小于35mg/Nm³，排放NOx浓度小于50mg/Nm³，排放固体颗粒物浓度小于5mg/Nm³，改造后每年可削减SO</w:t>
      </w:r>
      <w:r>
        <w:rPr>
          <w:rFonts w:hint="eastAsia" w:ascii="仿宋_GB2312" w:hAnsi="仿宋_GB2312" w:eastAsia="仿宋_GB2312" w:cs="仿宋_GB2312"/>
          <w:sz w:val="32"/>
          <w:szCs w:val="32"/>
          <w:vertAlign w:val="subscript"/>
        </w:rPr>
        <w:t>2</w:t>
      </w:r>
      <w:r>
        <w:rPr>
          <w:rFonts w:hint="eastAsia" w:ascii="仿宋_GB2312" w:hAnsi="仿宋_GB2312" w:eastAsia="仿宋_GB2312" w:cs="仿宋_GB2312"/>
          <w:sz w:val="32"/>
          <w:szCs w:val="32"/>
        </w:rPr>
        <w:t>排放量约443.26t, 消减NOx排放量312.45t，消减烟尘排放量约141.47t</w:t>
      </w:r>
      <w:r>
        <w:rPr>
          <w:rFonts w:hint="eastAsia" w:ascii="仿宋_GB2312" w:hAnsi="仿宋_GB2312" w:eastAsia="仿宋_GB2312" w:cs="仿宋_GB2312"/>
          <w:sz w:val="32"/>
          <w:szCs w:val="32"/>
          <w:lang w:eastAsia="zh-CN"/>
        </w:rPr>
        <w:t>。</w:t>
      </w:r>
    </w:p>
    <w:p>
      <w:pPr>
        <w:topLinePunct/>
        <w:ind w:firstLine="640" w:firstLineChars="200"/>
        <w:jc w:val="left"/>
        <w:rPr>
          <w:rFonts w:hint="eastAsia" w:ascii="仿宋_GB2312" w:hAnsi="仿宋_GB2312" w:eastAsia="仿宋_GB2312" w:cs="仿宋_GB2312"/>
          <w:sz w:val="32"/>
          <w:szCs w:val="32"/>
        </w:rPr>
      </w:pPr>
    </w:p>
    <w:p>
      <w:pPr>
        <w:topLinePun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w:t>
      </w:r>
      <w:bookmarkEnd w:id="1"/>
      <w:r>
        <w:rPr>
          <w:rFonts w:hint="eastAsia" w:ascii="仿宋_GB2312" w:hAnsi="仿宋_GB2312" w:eastAsia="仿宋_GB2312" w:cs="仿宋_GB2312"/>
          <w:b/>
          <w:bCs/>
          <w:sz w:val="32"/>
          <w:szCs w:val="32"/>
        </w:rPr>
        <w:t>石膏</w:t>
      </w:r>
      <w:r>
        <w:rPr>
          <w:rFonts w:hint="eastAsia" w:ascii="仿宋_GB2312" w:hAnsi="仿宋_GB2312" w:eastAsia="仿宋_GB2312" w:cs="仿宋_GB2312"/>
          <w:b/>
          <w:bCs/>
          <w:sz w:val="32"/>
          <w:szCs w:val="32"/>
          <w:lang w:eastAsia="zh-CN"/>
        </w:rPr>
        <w:t>等</w:t>
      </w:r>
      <w:r>
        <w:rPr>
          <w:rFonts w:hint="eastAsia" w:ascii="仿宋_GB2312" w:hAnsi="仿宋_GB2312" w:eastAsia="仿宋_GB2312" w:cs="仿宋_GB2312"/>
          <w:b/>
          <w:bCs/>
          <w:sz w:val="32"/>
          <w:szCs w:val="32"/>
        </w:rPr>
        <w:t>脱硫副产物具有综合利用价值</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改造前后石灰石消耗量和石膏产量增加均很少，对周围环境几乎不产生影响。本工程建设规模为2×330MW机组的燃烧烟气进行脱硫提效改造处理，采用石灰石/石膏湿法脱硫工艺，脱硫率大于98.85%，SO</w:t>
      </w:r>
      <w:r>
        <w:rPr>
          <w:rFonts w:hint="eastAsia" w:ascii="仿宋_GB2312" w:hAnsi="仿宋_GB2312" w:eastAsia="仿宋_GB2312" w:cs="仿宋_GB2312"/>
          <w:sz w:val="32"/>
          <w:szCs w:val="32"/>
          <w:vertAlign w:val="subscript"/>
        </w:rPr>
        <w:t>2</w:t>
      </w:r>
      <w:r>
        <w:rPr>
          <w:rFonts w:hint="eastAsia" w:ascii="仿宋_GB2312" w:hAnsi="仿宋_GB2312" w:eastAsia="仿宋_GB2312" w:cs="仿宋_GB2312"/>
          <w:sz w:val="32"/>
          <w:szCs w:val="32"/>
        </w:rPr>
        <w:t>浓度小于35mg/Nm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，净化后的废气经烟囱排入大气。满足《火电厂大气污染物排放标准》（GB13223－2011）的要求。本工程脱硫副产物石膏纯度可达90%以上，与提效前同样具有综合利用价值。</w:t>
      </w:r>
      <w:bookmarkStart w:id="2" w:name="_Toc468015353"/>
    </w:p>
    <w:bookmarkEnd w:id="2"/>
    <w:p>
      <w:pPr>
        <w:topLinePunct/>
        <w:ind w:firstLine="643" w:firstLineChars="200"/>
        <w:rPr>
          <w:rFonts w:hint="eastAsia" w:ascii="仿宋_GB2312" w:hAnsi="仿宋_GB2312" w:eastAsia="仿宋_GB2312" w:cs="仿宋_GB2312"/>
          <w:b/>
          <w:bCs/>
          <w:sz w:val="32"/>
          <w:szCs w:val="32"/>
          <w:lang w:eastAsia="zh-CN"/>
        </w:rPr>
      </w:pPr>
      <w:bookmarkStart w:id="3" w:name="_Toc468015354"/>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、改造实施后的社会效益</w:t>
      </w:r>
      <w:bookmarkEnd w:id="3"/>
      <w:r>
        <w:rPr>
          <w:rFonts w:hint="eastAsia" w:ascii="仿宋_GB2312" w:hAnsi="仿宋_GB2312" w:eastAsia="仿宋_GB2312" w:cs="仿宋_GB2312"/>
          <w:b/>
          <w:bCs/>
          <w:sz w:val="32"/>
          <w:szCs w:val="32"/>
          <w:lang w:eastAsia="zh-CN"/>
        </w:rPr>
        <w:t>明显</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机组超低排放改造后，各项污染治理设施运行正常，经过168h无故障试运行和第三方手工监测，污染物排放浓度保持在超低排放标准限值氮氧化物50mg/m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、二氧化硫35mg/m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、颗粒物10mg/m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以下。</w:t>
      </w:r>
    </w:p>
    <w:p>
      <w:pPr>
        <w:topLinePunc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展望</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新时代,环保改造为包头铝业的发展注入了源源动力,矗立在大青山下的这颗璀璨明珠,将扬帆奋进再出发,谱写安全、稳定、高效的发展新篇章。</w:t>
      </w:r>
    </w:p>
    <w:p>
      <w:pPr>
        <w:jc w:val="right"/>
        <w:rPr>
          <w:rFonts w:hint="eastAsia" w:ascii="仿宋_GB2312" w:hAnsi="仿宋_GB2312" w:eastAsia="仿宋_GB2312" w:cs="仿宋_GB2312"/>
        </w:rPr>
      </w:pPr>
      <w:bookmarkStart w:id="4" w:name="_GoBack"/>
      <w:bookmarkEnd w:id="4"/>
      <w:r>
        <w:rPr>
          <w:rFonts w:hint="eastAsia" w:ascii="仿宋_GB2312" w:hAnsi="仿宋_GB2312" w:eastAsia="仿宋_GB2312" w:cs="仿宋_GB2312"/>
          <w:kern w:val="0"/>
          <w:sz w:val="24"/>
          <w:szCs w:val="20"/>
        </w:rPr>
        <w:t>郑俊文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B5661"/>
    <w:rsid w:val="003A47E1"/>
    <w:rsid w:val="004704E1"/>
    <w:rsid w:val="004B5661"/>
    <w:rsid w:val="006949B6"/>
    <w:rsid w:val="009326AE"/>
    <w:rsid w:val="00CE04C0"/>
    <w:rsid w:val="00E203CE"/>
    <w:rsid w:val="00FD425A"/>
    <w:rsid w:val="0CCE6F32"/>
    <w:rsid w:val="1FC24B8A"/>
    <w:rsid w:val="6FFB6597"/>
    <w:rsid w:val="73CE6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正文4"/>
    <w:basedOn w:val="1"/>
    <w:unhideWhenUsed/>
    <w:qFormat/>
    <w:uiPriority w:val="0"/>
    <w:pPr>
      <w:widowControl/>
      <w:adjustRightInd w:val="0"/>
      <w:spacing w:line="360" w:lineRule="auto"/>
      <w:ind w:firstLine="624" w:firstLineChars="200"/>
      <w:jc w:val="left"/>
      <w:textAlignment w:val="baseline"/>
    </w:pPr>
    <w:rPr>
      <w:rFonts w:ascii="Times New Roman" w:hAnsi="Times New Roman" w:cs="宋体"/>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347</Words>
  <Characters>1980</Characters>
  <Lines>16</Lines>
  <Paragraphs>4</Paragraphs>
  <TotalTime>0</TotalTime>
  <ScaleCrop>false</ScaleCrop>
  <LinksUpToDate>false</LinksUpToDate>
  <CharactersWithSpaces>2323</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2019-02-12T09:23:00Z</dcterms:created>
  <dc:creator>马桂英</dc:creator>
  <cp:lastModifiedBy>木央</cp:lastModifiedBy>
  <dcterms:modified xsi:type="dcterms:W3CDTF">2021-06-30T02:31:10Z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